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2" w:rsidRPr="001C56B2" w:rsidRDefault="001C56B2" w:rsidP="001C56B2">
      <w:pPr>
        <w:spacing w:after="7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1C56B2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Лобелия</w:t>
      </w:r>
    </w:p>
    <w:p w:rsidR="001C56B2" w:rsidRPr="001C56B2" w:rsidRDefault="001C56B2" w:rsidP="001C5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100659A9" wp14:editId="5EAA732C">
            <wp:extent cx="6667500" cy="5476875"/>
            <wp:effectExtent l="0" t="0" r="0" b="9525"/>
            <wp:docPr id="1" name="Рисунок 1" descr="Лоб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е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E7" w:rsidRDefault="001C56B2" w:rsidP="00473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proofErr w:type="gramStart"/>
      <w:r w:rsidRPr="0087632D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Лобелия</w:t>
      </w:r>
      <w:proofErr w:type="gramEnd"/>
      <w:r w:rsidRPr="0087632D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являющаяся частью семейства Колокольчиковые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, представлена кустарниками, полукустарниками и травянистыми растениями,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среди которых есть как однолетники, так и многолетники.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В природе это растение можно повстречать практически во всех частях света, однако чаще всего они встречаются в субтропиках и немного </w:t>
      </w:r>
      <w:r w:rsidRPr="0087632D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реже ― в областях с умеренным климатом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На сегодняшний день этот род объединяет примерно 300 видов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  <w:r w:rsidRPr="001C56B2"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</w:t>
      </w:r>
      <w:r w:rsidRPr="001C56B2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Многолетняя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 лобелия, как правило, в садах средних широт культивируется в качестве</w:t>
      </w:r>
      <w:r w:rsidRPr="001C56B2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 xml:space="preserve"> однолетника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. Она </w:t>
      </w:r>
      <w:r w:rsidRPr="00AC59CA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 xml:space="preserve">представляет собой компактный куст шаровидной формы, высота которого может варьироваться от 10 до 20 сантиметров. </w:t>
      </w:r>
      <w:r>
        <w:rPr>
          <w:rFonts w:ascii="Arial" w:hAnsi="Arial" w:cs="Arial"/>
          <w:color w:val="494949"/>
          <w:sz w:val="23"/>
          <w:szCs w:val="23"/>
          <w:shd w:val="clear" w:color="auto" w:fill="FFFFFF"/>
        </w:rPr>
        <w:t xml:space="preserve">Однако встречаются такие виды и сорта, высота которых может доходить до 150 см. Окрас цветков зависит от сорта и </w:t>
      </w:r>
      <w:r w:rsidRPr="00AC59CA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может быть пурпурным, фиолетовым, белым, темно-синим либо голубым</w:t>
      </w:r>
    </w:p>
    <w:p w:rsidR="00473CE7" w:rsidRPr="001C56B2" w:rsidRDefault="00473CE7" w:rsidP="00473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lastRenderedPageBreak/>
        <w:drawing>
          <wp:inline distT="0" distB="0" distL="0" distR="0" wp14:anchorId="39BA4C58" wp14:editId="3B0F97F2">
            <wp:extent cx="6667500" cy="5295900"/>
            <wp:effectExtent l="0" t="0" r="0" b="0"/>
            <wp:docPr id="6" name="Рисунок 6" descr="Лобел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бел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Посадка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Семена на рассаду высевают в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начале февраля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, а высадку рассады в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открытую почву проводят спустя 8–10 недель (примерно в середине мая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).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Цветение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Начинается в мае, а заканчивается в сентябре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Освещенность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Нуждается в большом количестве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яркого солнечного света.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Грунт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Рыхлый супесчаный либо суглинистый не слишком питательный.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Полив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Почву увлажняют часто, тем более в знойную погоду.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При выращивании ампельных видов и сортов их полив проводят дважды в сутки.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Удобрение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</w:t>
      </w:r>
      <w:r w:rsidRPr="0087632D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Для подкормок используют минеральное комплексное удобрение для цветущих растений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Первый раз удобрение вносят в почву спустя полмесяца после высадки рассады в сад, а второй и третий ― во время цветения.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Органические удобрения для подкормки использовать не рекомендуется.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Размножение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</w:t>
      </w: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Делением корней и семенным способом. Махровые сорта размножают исключительно черенками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Вредные насекомые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Тли, паутинные клещи и слизни.</w:t>
      </w:r>
    </w:p>
    <w:p w:rsidR="00473CE7" w:rsidRPr="001C56B2" w:rsidRDefault="00473CE7" w:rsidP="00473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Заболевания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Белая плесень, ржавчина, листовой и стеблевой бактериозы, вирус </w:t>
      </w:r>
      <w:proofErr w:type="spellStart"/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бронзовости</w:t>
      </w:r>
      <w:proofErr w:type="spellEnd"/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листьев.</w:t>
      </w:r>
    </w:p>
    <w:p w:rsidR="00473CE7" w:rsidRPr="001C56B2" w:rsidRDefault="00473CE7" w:rsidP="00473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9E2A79" w:rsidRPr="00AC59CA" w:rsidRDefault="009E2A79" w:rsidP="001C56B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</w:pPr>
    </w:p>
    <w:p w:rsidR="001C56B2" w:rsidRPr="001C56B2" w:rsidRDefault="001C56B2" w:rsidP="001C56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38BFCA5A" wp14:editId="30C2B52A">
            <wp:extent cx="6667500" cy="5667375"/>
            <wp:effectExtent l="0" t="0" r="0" b="9525"/>
            <wp:docPr id="3" name="Рисунок 3" descr="Выращивание лобелии из семя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ащивание лобелии из семя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B2" w:rsidRPr="001C56B2" w:rsidRDefault="001C56B2" w:rsidP="001C56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1C56B2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Наиболее часто лобелию размножают семенами</w:t>
      </w:r>
      <w:r w:rsidRPr="001C56B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 Поэтому ее выращивание начинается с высева семян в почву. Пройдет всего от 8 до 10 недель с момента высева, и молодые кустики начнут цвести.</w:t>
      </w:r>
    </w:p>
    <w:p w:rsidR="00AC59CA" w:rsidRPr="00473CE7" w:rsidRDefault="00AC59CA" w:rsidP="001C56B2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</w:pPr>
      <w:r w:rsidRPr="00473CE7">
        <w:rPr>
          <w:rFonts w:ascii="Arial" w:hAnsi="Arial" w:cs="Arial"/>
          <w:b/>
          <w:color w:val="494949"/>
          <w:sz w:val="23"/>
          <w:szCs w:val="23"/>
          <w:shd w:val="clear" w:color="auto" w:fill="FFFFFF"/>
        </w:rPr>
        <w:t>Излишняя влага в субстрате сеянцам принесет гораздо меньше вреда, чем пересохший субстрат и чрезмерно теплый и сухой воздух</w:t>
      </w:r>
    </w:p>
    <w:p w:rsidR="00473CE7" w:rsidRPr="00473CE7" w:rsidRDefault="00473CE7" w:rsidP="00473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473CE7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lastRenderedPageBreak/>
        <w:drawing>
          <wp:inline distT="0" distB="0" distL="0" distR="0" wp14:anchorId="58A8C002" wp14:editId="5CDAEA50">
            <wp:extent cx="6667500" cy="5076825"/>
            <wp:effectExtent l="0" t="0" r="0" b="9525"/>
            <wp:docPr id="4" name="Рисунок 4" descr="Высадка в са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садка в са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E7" w:rsidRDefault="00473CE7" w:rsidP="00473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87632D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Как правило, в открытую почву подросшую рассаду лобелии пересаживают с середины до конца мая после того, как угроза возвратных заморозков останется позади.</w:t>
      </w:r>
      <w:r w:rsidRPr="00473CE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Подходящий участок должен </w:t>
      </w:r>
      <w:r w:rsidRPr="00E81308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быть хорошо освещенным</w:t>
      </w:r>
      <w:r w:rsidRPr="00473CE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, при этом грунт необходим рыхлый, не очень питательный суглинистый или супесчаный. </w:t>
      </w:r>
    </w:p>
    <w:p w:rsidR="00E81308" w:rsidRDefault="002B687C" w:rsidP="00E813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54A7A3B8" wp14:editId="3E40AC73">
            <wp:extent cx="4204800" cy="3060000"/>
            <wp:effectExtent l="0" t="0" r="5715" b="7620"/>
            <wp:docPr id="7" name="Рисунок 7" descr="Уход за лобел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од за лобел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7C" w:rsidRPr="00E81308" w:rsidRDefault="002B687C" w:rsidP="00E813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Уход после цветения</w:t>
      </w:r>
    </w:p>
    <w:p w:rsid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Отцветшие окончательно кусты можно выкопать и </w:t>
      </w:r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утилизировать вместе с иными однолетними культурами, предварительно собрав семенной материал, </w:t>
      </w: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если это надо. Правда кусты можно убрать с участка и весной, но в этом случае произойдет самосев лобелии, при этом выросшие кустики начнут цвести гораздо позже тех, что выращены через рассаду. Поэтому при желании осенью проведите сбор семян с понравившихся вам кустов, а весной используйте их для посева. </w:t>
      </w:r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Сбор семенного материала проводят следующим образом: обрежьте куст и потрясите его над газетным листком. Все, что осыплется на бумагу, просеивают и складывают семена в бумажный пакет либо коробок из </w:t>
      </w:r>
      <w:proofErr w:type="gramStart"/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под</w:t>
      </w:r>
      <w:proofErr w:type="gramEnd"/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спичек на хранение.</w:t>
      </w: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Не забудьте подписать вид, сорт и дату сбора.</w:t>
      </w:r>
    </w:p>
    <w:p w:rsidR="002B687C" w:rsidRPr="00E81308" w:rsidRDefault="002B687C" w:rsidP="00E81308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B687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Однолетники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68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Лобелия </w:t>
      </w:r>
      <w:proofErr w:type="spellStart"/>
      <w:r w:rsidRPr="002B68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эринус</w:t>
      </w:r>
      <w:proofErr w:type="spellEnd"/>
      <w:r w:rsidRPr="002B68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7E55FC27" wp14:editId="43B76EC9">
            <wp:extent cx="3333600" cy="2458800"/>
            <wp:effectExtent l="0" t="0" r="635" b="0"/>
            <wp:docPr id="8" name="Рисунок 8" descr="Лобелия эрину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белия эрину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Или лобелия бордюрная, или лобелия </w:t>
      </w:r>
      <w:proofErr w:type="spellStart"/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ежевидная</w:t>
      </w:r>
      <w:proofErr w:type="spellEnd"/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, или синяя лобелия. </w:t>
      </w:r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У данного вида насчитывается 5 форм, а именно: </w:t>
      </w:r>
      <w:proofErr w:type="gramStart"/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карликовая</w:t>
      </w:r>
      <w:proofErr w:type="gramEnd"/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, прямостоячая, раскидистая, </w:t>
      </w:r>
      <w:proofErr w:type="spellStart"/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плетистая</w:t>
      </w:r>
      <w:proofErr w:type="spellEnd"/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и компактная.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68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Лобелия сильная 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6E77B8C0" wp14:editId="01F78395">
            <wp:extent cx="3466800" cy="2613600"/>
            <wp:effectExtent l="0" t="0" r="635" b="0"/>
            <wp:docPr id="9" name="Рисунок 9" descr="Лобелия сильна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белия сильна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 xml:space="preserve">Этот вид сильно похож на компактную форму лобелии </w:t>
      </w:r>
      <w:proofErr w:type="spellStart"/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эринус</w:t>
      </w:r>
      <w:proofErr w:type="spellEnd"/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, однако он отличается более крепкими побегами и сочной листвой, а также крупными цветками, которые </w:t>
      </w:r>
      <w:proofErr w:type="gramStart"/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обладают</w:t>
      </w:r>
      <w:proofErr w:type="gramEnd"/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синим либо пурпурным окрасом с </w:t>
      </w:r>
      <w:r w:rsidRPr="00E81308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белым пятнышком в середке</w:t>
      </w: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.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</w:t>
      </w:r>
      <w:r w:rsidRPr="002B68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обелия тончайшая 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203A61C3" wp14:editId="7AC53933">
            <wp:extent cx="3402000" cy="2739600"/>
            <wp:effectExtent l="0" t="0" r="8255" b="3810"/>
            <wp:docPr id="10" name="Рисунок 10" descr="Лобелия тончайша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белия тончайша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Высота куста варьируется от 0,25 до 0,35 м, а белые, голубые либо сиреневые цветки в поперечнике достигают около 20 мм.</w:t>
      </w:r>
    </w:p>
    <w:p w:rsidR="002B687C" w:rsidRPr="002B687C" w:rsidRDefault="00E81308" w:rsidP="002B687C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Многолетники</w:t>
      </w:r>
      <w:bookmarkStart w:id="0" w:name="_GoBack"/>
      <w:bookmarkEnd w:id="0"/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B68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Лобелия блестящая </w:t>
      </w:r>
    </w:p>
    <w:p w:rsidR="002B687C" w:rsidRP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6133FF91" wp14:editId="22E05304">
            <wp:extent cx="3466800" cy="3006000"/>
            <wp:effectExtent l="0" t="0" r="635" b="4445"/>
            <wp:docPr id="11" name="Рисунок 11" descr="Лобелия блестящая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белия блестящая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7C" w:rsidRDefault="002B687C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 w:rsidRPr="002B687C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Или лобелия огненная. В зависимости от сорта куст высотой около 0,75 м могут украшать листовые пластины красного либо зеленого цвета. </w:t>
      </w:r>
    </w:p>
    <w:p w:rsidR="00DD5749" w:rsidRPr="002B687C" w:rsidRDefault="00DD5749" w:rsidP="002B687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DD5749" w:rsidRPr="00DD5749" w:rsidRDefault="00DD5749" w:rsidP="00DD5749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57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Лобелия </w:t>
      </w:r>
      <w:proofErr w:type="spellStart"/>
      <w:r w:rsidRPr="00DD57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Герарди</w:t>
      </w:r>
      <w:proofErr w:type="spellEnd"/>
      <w:r w:rsidRPr="00DD57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DD5749" w:rsidRPr="00DD5749" w:rsidRDefault="00DD5749" w:rsidP="00DD57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DD5749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3B03324F" wp14:editId="04ADDE37">
            <wp:extent cx="3733200" cy="2959200"/>
            <wp:effectExtent l="0" t="0" r="635" b="0"/>
            <wp:docPr id="12" name="Рисунок 12" descr="Лобелия Герард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белия Герард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49" w:rsidRDefault="00DD5749" w:rsidP="00DD57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DD5749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Вид отличается высокой устойчивостью к морозам,</w:t>
      </w:r>
      <w:r w:rsidRPr="00DD574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он способен выдержать снижение температуры </w:t>
      </w:r>
      <w:proofErr w:type="gramStart"/>
      <w:r w:rsidRPr="00DD574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до</w:t>
      </w:r>
      <w:proofErr w:type="gramEnd"/>
      <w:r w:rsidRPr="00DD574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proofErr w:type="gramStart"/>
      <w:r w:rsidRPr="00DD574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минус</w:t>
      </w:r>
      <w:proofErr w:type="gramEnd"/>
      <w:r w:rsidRPr="00DD574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29 градусов. Высота куста около 1,25 м, его украшают колосовидные соцветия. </w:t>
      </w:r>
    </w:p>
    <w:p w:rsidR="00DD5749" w:rsidRPr="00DD5749" w:rsidRDefault="00DD5749" w:rsidP="00DD57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DD5749" w:rsidRPr="00DD5749" w:rsidRDefault="00DD5749" w:rsidP="00DD5749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D574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Лобелия пурпурная </w:t>
      </w:r>
    </w:p>
    <w:p w:rsidR="00DD5749" w:rsidRPr="00DD5749" w:rsidRDefault="00DD5749" w:rsidP="00DD57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DD5749">
        <w:rPr>
          <w:rFonts w:ascii="Arial" w:eastAsia="Times New Roman" w:hAnsi="Arial" w:cs="Arial"/>
          <w:noProof/>
          <w:color w:val="46A264"/>
          <w:sz w:val="23"/>
          <w:szCs w:val="23"/>
          <w:lang w:eastAsia="ru-RU"/>
        </w:rPr>
        <w:drawing>
          <wp:inline distT="0" distB="0" distL="0" distR="0" wp14:anchorId="4BF0025D" wp14:editId="51978FFD">
            <wp:extent cx="3535200" cy="2725200"/>
            <wp:effectExtent l="0" t="0" r="8255" b="0"/>
            <wp:docPr id="13" name="Рисунок 13" descr="Лобелия пурпурная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белия пурпурная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49" w:rsidRPr="00DD5749" w:rsidRDefault="00DD5749" w:rsidP="00DD574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DD574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Или лобелия пурпуровая, или лобелия кардинальская. Высота куста около 100 см.</w:t>
      </w:r>
    </w:p>
    <w:p w:rsidR="001C56B2" w:rsidRPr="001C56B2" w:rsidRDefault="001C56B2" w:rsidP="001C56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sectPr w:rsidR="001C56B2" w:rsidRPr="001C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AB"/>
    <w:multiLevelType w:val="multilevel"/>
    <w:tmpl w:val="E44A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3F"/>
    <w:rsid w:val="001C56B2"/>
    <w:rsid w:val="002B687C"/>
    <w:rsid w:val="00473CE7"/>
    <w:rsid w:val="00834C93"/>
    <w:rsid w:val="0087632D"/>
    <w:rsid w:val="009C603F"/>
    <w:rsid w:val="009E2A79"/>
    <w:rsid w:val="00AC59CA"/>
    <w:rsid w:val="00DD5749"/>
    <w:rsid w:val="00E8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astenievod.com/wp-content/uploads/2016/09/7-17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rastenievod.com/wp-content/uploads/2016/09/11-5.jpg" TargetMode="External"/><Relationship Id="rId7" Type="http://schemas.openxmlformats.org/officeDocument/2006/relationships/hyperlink" Target="https://rastenievod.com/wp-content/uploads/2016/09/3-4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astenievod.com/wp-content/uploads/2016/09/9-8.jpg" TargetMode="External"/><Relationship Id="rId25" Type="http://schemas.openxmlformats.org/officeDocument/2006/relationships/hyperlink" Target="https://rastenievod.com/wp-content/uploads/2016/09/14-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astenievod.com/wp-content/uploads/2016/09/6-27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rastenievod.com/wp-content/uploads/2016/09/8-12.jpg" TargetMode="External"/><Relationship Id="rId23" Type="http://schemas.openxmlformats.org/officeDocument/2006/relationships/hyperlink" Target="https://rastenievod.com/wp-content/uploads/2016/09/13-3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rastenievod.com/wp-content/uploads/2016/09/10-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stenievod.com/wp-content/uploads/2016/09/4-4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2020-05-04T05:57:00Z</dcterms:created>
  <dcterms:modified xsi:type="dcterms:W3CDTF">2020-05-04T17:18:00Z</dcterms:modified>
</cp:coreProperties>
</file>